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</w:t>
      </w:r>
      <w:r w:rsidR="00752D9F">
        <w:rPr>
          <w:rFonts w:ascii="Century Gothic" w:hAnsi="Century Gothic"/>
          <w:sz w:val="22"/>
          <w:szCs w:val="22"/>
        </w:rPr>
        <w:t xml:space="preserve">1 </w:t>
      </w:r>
      <w:r w:rsidR="007E7BF7">
        <w:rPr>
          <w:rFonts w:ascii="Century Gothic" w:hAnsi="Century Gothic"/>
          <w:sz w:val="22"/>
          <w:szCs w:val="22"/>
        </w:rPr>
        <w:t>October 2019 to 31 October 2019.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7E7BF7" w:rsidRDefault="007E7BF7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693"/>
        <w:gridCol w:w="1984"/>
        <w:gridCol w:w="2693"/>
      </w:tblGrid>
      <w:tr w:rsidR="007E7BF7" w:rsidRPr="00AD2A7A" w:rsidTr="007E7BF7">
        <w:trPr>
          <w:trHeight w:val="213"/>
        </w:trPr>
        <w:tc>
          <w:tcPr>
            <w:tcW w:w="665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  <w:b/>
              </w:rPr>
            </w:pPr>
            <w:r w:rsidRPr="007E7BF7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  <w:b/>
              </w:rPr>
            </w:pPr>
            <w:r w:rsidRPr="007E7BF7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167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  <w:b/>
              </w:rPr>
            </w:pPr>
            <w:r w:rsidRPr="007E7BF7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  <w:b/>
              </w:rPr>
            </w:pPr>
            <w:r w:rsidRPr="007E7BF7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7E7BF7" w:rsidRPr="00AD2A7A" w:rsidTr="007E7BF7">
        <w:trPr>
          <w:trHeight w:val="213"/>
        </w:trPr>
        <w:tc>
          <w:tcPr>
            <w:tcW w:w="665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2019/66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proofErr w:type="spellStart"/>
            <w:r w:rsidRPr="007E7BF7">
              <w:rPr>
                <w:rFonts w:ascii="Century Gothic" w:hAnsi="Century Gothic" w:cs="Arial"/>
              </w:rPr>
              <w:t>Algalah</w:t>
            </w:r>
            <w:proofErr w:type="spellEnd"/>
            <w:r w:rsidRPr="007E7BF7"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167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10/667909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Shed</w:t>
            </w:r>
          </w:p>
        </w:tc>
      </w:tr>
      <w:tr w:rsidR="007E7BF7" w:rsidRPr="00AD2A7A" w:rsidTr="007E7BF7">
        <w:trPr>
          <w:trHeight w:val="213"/>
        </w:trPr>
        <w:tc>
          <w:tcPr>
            <w:tcW w:w="665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2019/67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McNamara’s Lane Narromine</w:t>
            </w:r>
          </w:p>
        </w:tc>
        <w:tc>
          <w:tcPr>
            <w:tcW w:w="1167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3/1002601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Dwelling</w:t>
            </w:r>
          </w:p>
        </w:tc>
      </w:tr>
      <w:tr w:rsidR="007E7BF7" w:rsidRPr="00AD2A7A" w:rsidTr="007E7BF7">
        <w:trPr>
          <w:trHeight w:val="213"/>
        </w:trPr>
        <w:tc>
          <w:tcPr>
            <w:tcW w:w="665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2019/68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Crossley Drive Narromine</w:t>
            </w:r>
          </w:p>
        </w:tc>
        <w:tc>
          <w:tcPr>
            <w:tcW w:w="1167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5/857298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Shed</w:t>
            </w:r>
          </w:p>
        </w:tc>
      </w:tr>
      <w:tr w:rsidR="007E7BF7" w:rsidRPr="00AD2A7A" w:rsidTr="007E7BF7">
        <w:trPr>
          <w:trHeight w:val="213"/>
        </w:trPr>
        <w:tc>
          <w:tcPr>
            <w:tcW w:w="665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2019/69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Manildra Street Narromine</w:t>
            </w:r>
          </w:p>
        </w:tc>
        <w:tc>
          <w:tcPr>
            <w:tcW w:w="1167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11/758759</w:t>
            </w:r>
          </w:p>
        </w:tc>
        <w:tc>
          <w:tcPr>
            <w:tcW w:w="1584" w:type="pct"/>
          </w:tcPr>
          <w:p w:rsidR="007E7BF7" w:rsidRPr="007E7BF7" w:rsidRDefault="007E7BF7" w:rsidP="005E4B16">
            <w:pPr>
              <w:rPr>
                <w:rFonts w:ascii="Century Gothic" w:hAnsi="Century Gothic" w:cs="Arial"/>
              </w:rPr>
            </w:pPr>
            <w:r w:rsidRPr="007E7BF7">
              <w:rPr>
                <w:rFonts w:ascii="Century Gothic" w:hAnsi="Century Gothic" w:cs="Arial"/>
              </w:rPr>
              <w:t>Shed</w:t>
            </w:r>
          </w:p>
        </w:tc>
      </w:tr>
    </w:tbl>
    <w:p w:rsidR="007E7BF7" w:rsidRDefault="007E7BF7" w:rsidP="00F601B9">
      <w:pPr>
        <w:rPr>
          <w:rFonts w:ascii="Century Gothic" w:hAnsi="Century Gothic"/>
          <w:sz w:val="22"/>
          <w:szCs w:val="22"/>
        </w:rPr>
      </w:pPr>
    </w:p>
    <w:p w:rsidR="007E7BF7" w:rsidRDefault="007E7BF7" w:rsidP="00F601B9">
      <w:pPr>
        <w:rPr>
          <w:rFonts w:ascii="Century Gothic" w:hAnsi="Century Gothic"/>
          <w:sz w:val="22"/>
          <w:szCs w:val="22"/>
        </w:rPr>
      </w:pPr>
    </w:p>
    <w:p w:rsidR="007E7BF7" w:rsidRDefault="007E7BF7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7E7BF7">
        <w:rPr>
          <w:rFonts w:ascii="Century Gothic" w:hAnsi="Century Gothic"/>
          <w:sz w:val="22"/>
          <w:szCs w:val="22"/>
        </w:rPr>
        <w:t>4 November</w:t>
      </w:r>
      <w:r w:rsidR="001B7825">
        <w:rPr>
          <w:rFonts w:ascii="Century Gothic" w:hAnsi="Century Gothic"/>
          <w:sz w:val="22"/>
          <w:szCs w:val="22"/>
        </w:rPr>
        <w:t xml:space="preserve">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013A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B7825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D6EEF"/>
    <w:rsid w:val="003E2EE8"/>
    <w:rsid w:val="003E34DB"/>
    <w:rsid w:val="003E54F7"/>
    <w:rsid w:val="003F211C"/>
    <w:rsid w:val="0041654B"/>
    <w:rsid w:val="00421FEE"/>
    <w:rsid w:val="00463438"/>
    <w:rsid w:val="00473201"/>
    <w:rsid w:val="004939ED"/>
    <w:rsid w:val="0050096E"/>
    <w:rsid w:val="0050646E"/>
    <w:rsid w:val="005342D3"/>
    <w:rsid w:val="005520DC"/>
    <w:rsid w:val="005563CB"/>
    <w:rsid w:val="00565E21"/>
    <w:rsid w:val="005C4763"/>
    <w:rsid w:val="005E4BB0"/>
    <w:rsid w:val="005E5599"/>
    <w:rsid w:val="005E7135"/>
    <w:rsid w:val="00633451"/>
    <w:rsid w:val="00637407"/>
    <w:rsid w:val="00641721"/>
    <w:rsid w:val="0066654D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52D9F"/>
    <w:rsid w:val="007916AB"/>
    <w:rsid w:val="007B33A7"/>
    <w:rsid w:val="007D5345"/>
    <w:rsid w:val="007E7BF7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06AA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E28D2"/>
    <w:rsid w:val="00CE354D"/>
    <w:rsid w:val="00CF1A49"/>
    <w:rsid w:val="00D07CB9"/>
    <w:rsid w:val="00DB1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6246"/>
    <w:rsid w:val="00FA7551"/>
    <w:rsid w:val="00FC6BC8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2019-11-04T00:59:00Z</dcterms:created>
  <dcterms:modified xsi:type="dcterms:W3CDTF">2019-11-04T01:01:00Z</dcterms:modified>
</cp:coreProperties>
</file>