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5E4BB0">
        <w:rPr>
          <w:rFonts w:ascii="Century Gothic" w:hAnsi="Century Gothic"/>
          <w:sz w:val="22"/>
          <w:szCs w:val="22"/>
        </w:rPr>
        <w:t>September and 30 September 2018.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4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842"/>
        <w:gridCol w:w="1702"/>
        <w:gridCol w:w="3118"/>
      </w:tblGrid>
      <w:tr w:rsidR="003A3D4B" w:rsidRPr="00AD2A7A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2018/52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Aerodrome Narromine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44/1209533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22 Lot Subdivision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2018/56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Eumungerie Road Narromine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111, 45, 46 513154       752600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A3D4B">
              <w:rPr>
                <w:rFonts w:ascii="Century Gothic" w:hAnsi="Century Gothic" w:cs="Arial"/>
                <w:sz w:val="22"/>
                <w:szCs w:val="22"/>
              </w:rPr>
              <w:t>Consolidtation</w:t>
            </w:r>
            <w:proofErr w:type="spellEnd"/>
            <w:r w:rsidRPr="003A3D4B">
              <w:rPr>
                <w:rFonts w:ascii="Century Gothic" w:hAnsi="Century Gothic" w:cs="Arial"/>
                <w:sz w:val="22"/>
                <w:szCs w:val="22"/>
              </w:rPr>
              <w:t xml:space="preserve"> and boundary adjustment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2018/57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A3D4B">
              <w:rPr>
                <w:rFonts w:ascii="Century Gothic" w:hAnsi="Century Gothic" w:cs="Arial"/>
                <w:sz w:val="22"/>
                <w:szCs w:val="22"/>
              </w:rPr>
              <w:t>Brummagen</w:t>
            </w:r>
            <w:proofErr w:type="spellEnd"/>
            <w:r w:rsidRPr="003A3D4B">
              <w:rPr>
                <w:rFonts w:ascii="Century Gothic" w:hAnsi="Century Gothic" w:cs="Arial"/>
                <w:sz w:val="22"/>
                <w:szCs w:val="22"/>
              </w:rPr>
              <w:t xml:space="preserve"> Road Narromine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1/1185622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2018/60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A3D4B">
              <w:rPr>
                <w:rFonts w:ascii="Century Gothic" w:hAnsi="Century Gothic" w:cs="Arial"/>
                <w:sz w:val="22"/>
                <w:szCs w:val="22"/>
              </w:rPr>
              <w:t>Brennans</w:t>
            </w:r>
            <w:proofErr w:type="spellEnd"/>
            <w:r w:rsidRPr="003A3D4B">
              <w:rPr>
                <w:rFonts w:ascii="Century Gothic" w:hAnsi="Century Gothic" w:cs="Arial"/>
                <w:sz w:val="22"/>
                <w:szCs w:val="22"/>
              </w:rPr>
              <w:t xml:space="preserve"> Lane Trangie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13/755122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Private Burial Consent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2018/61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Collie Road Trangie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14, 19, 20    755107      755116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Consolidation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2018/63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Bowden Fletcher Dr Narromine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13/1045420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3A3D4B" w:rsidTr="003A3D4B">
        <w:trPr>
          <w:trHeight w:val="213"/>
        </w:trPr>
        <w:tc>
          <w:tcPr>
            <w:tcW w:w="725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2018/64</w:t>
            </w:r>
          </w:p>
        </w:tc>
        <w:tc>
          <w:tcPr>
            <w:tcW w:w="1182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Dandaloo Street Trangie</w:t>
            </w:r>
          </w:p>
        </w:tc>
        <w:tc>
          <w:tcPr>
            <w:tcW w:w="1092" w:type="pct"/>
          </w:tcPr>
          <w:p w:rsidR="003A3D4B" w:rsidRPr="003A3D4B" w:rsidRDefault="003A3D4B" w:rsidP="00AA528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1/130055</w:t>
            </w:r>
          </w:p>
        </w:tc>
        <w:tc>
          <w:tcPr>
            <w:tcW w:w="2001" w:type="pct"/>
          </w:tcPr>
          <w:p w:rsidR="003A3D4B" w:rsidRPr="003A3D4B" w:rsidRDefault="003A3D4B" w:rsidP="00AA52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A3D4B">
              <w:rPr>
                <w:rFonts w:ascii="Century Gothic" w:hAnsi="Century Gothic" w:cs="Arial"/>
                <w:sz w:val="22"/>
                <w:szCs w:val="22"/>
              </w:rPr>
              <w:t>Covered Deck Use Only</w:t>
            </w:r>
          </w:p>
        </w:tc>
      </w:tr>
    </w:tbl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5E4BB0">
        <w:rPr>
          <w:rFonts w:ascii="Century Gothic" w:hAnsi="Century Gothic"/>
          <w:sz w:val="22"/>
          <w:szCs w:val="22"/>
        </w:rPr>
        <w:t xml:space="preserve">3 October </w:t>
      </w:r>
      <w:r w:rsidR="008F59CA">
        <w:rPr>
          <w:rFonts w:ascii="Century Gothic" w:hAnsi="Century Gothic"/>
          <w:sz w:val="22"/>
          <w:szCs w:val="22"/>
        </w:rPr>
        <w:t>2018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A3D4B"/>
    <w:rsid w:val="003C133C"/>
    <w:rsid w:val="003D5CD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4828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2018-10-16T22:39:00Z</dcterms:created>
  <dcterms:modified xsi:type="dcterms:W3CDTF">2018-10-16T22:41:00Z</dcterms:modified>
</cp:coreProperties>
</file>