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FA6246">
        <w:rPr>
          <w:rFonts w:ascii="Century Gothic" w:hAnsi="Century Gothic"/>
          <w:sz w:val="22"/>
          <w:szCs w:val="22"/>
        </w:rPr>
        <w:t>September 2018 to 30 September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552"/>
        <w:gridCol w:w="1700"/>
        <w:gridCol w:w="3210"/>
      </w:tblGrid>
      <w:tr w:rsidR="003E54F7" w:rsidRPr="00AD2A7A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  <w:b/>
              </w:rPr>
            </w:pPr>
            <w:r w:rsidRPr="003E54F7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  <w:b/>
              </w:rPr>
            </w:pPr>
            <w:r w:rsidRPr="003E54F7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  <w:b/>
              </w:rPr>
            </w:pPr>
            <w:r w:rsidRPr="003E54F7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  <w:b/>
              </w:rPr>
            </w:pPr>
            <w:r w:rsidRPr="003E54F7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3E54F7" w:rsidRPr="00D667B9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2019/37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Dandaloo Street Trangie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9/3903/1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proofErr w:type="spellStart"/>
            <w:r w:rsidRPr="003E54F7">
              <w:rPr>
                <w:rFonts w:ascii="Century Gothic" w:hAnsi="Century Gothic" w:cs="Arial"/>
              </w:rPr>
              <w:t>Verandah</w:t>
            </w:r>
            <w:proofErr w:type="spellEnd"/>
            <w:r w:rsidRPr="003E54F7">
              <w:rPr>
                <w:rFonts w:ascii="Century Gothic" w:hAnsi="Century Gothic" w:cs="Arial"/>
              </w:rPr>
              <w:t xml:space="preserve"> additions</w:t>
            </w:r>
          </w:p>
        </w:tc>
      </w:tr>
      <w:tr w:rsidR="003E54F7" w:rsidRPr="00D667B9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2019/45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John Street Trangie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12/581470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 xml:space="preserve">Shed &amp; Awning </w:t>
            </w:r>
          </w:p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USE ONLY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2019/48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Birch Street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75/810143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Carport &amp; Shed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2019/56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proofErr w:type="spellStart"/>
            <w:r w:rsidRPr="003E54F7">
              <w:rPr>
                <w:rFonts w:ascii="Century Gothic" w:hAnsi="Century Gothic" w:cs="Arial"/>
              </w:rPr>
              <w:t>Temoin</w:t>
            </w:r>
            <w:proofErr w:type="spellEnd"/>
            <w:r w:rsidRPr="003E54F7"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23/621966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Dwelling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2019/59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Mitchell Hwy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44/1209533</w:t>
            </w:r>
          </w:p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320/1198226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Boundary adjustment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2019/62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42/1209533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Shed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2019/63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Dubbo Burroway Road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55/752572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Swimming Pool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2019/64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Third Avenue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5/7833/2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Swimming Pool</w:t>
            </w:r>
          </w:p>
        </w:tc>
      </w:tr>
      <w:tr w:rsidR="003E54F7" w:rsidTr="003E54F7">
        <w:trPr>
          <w:trHeight w:val="213"/>
        </w:trPr>
        <w:tc>
          <w:tcPr>
            <w:tcW w:w="862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2019/65</w:t>
            </w:r>
          </w:p>
        </w:tc>
        <w:tc>
          <w:tcPr>
            <w:tcW w:w="1415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Manildra Street Narromine</w:t>
            </w:r>
          </w:p>
        </w:tc>
        <w:tc>
          <w:tcPr>
            <w:tcW w:w="943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8/249367</w:t>
            </w:r>
          </w:p>
        </w:tc>
        <w:tc>
          <w:tcPr>
            <w:tcW w:w="1780" w:type="pct"/>
          </w:tcPr>
          <w:p w:rsidR="003E54F7" w:rsidRPr="003E54F7" w:rsidRDefault="003E54F7" w:rsidP="009F7EEF">
            <w:pPr>
              <w:rPr>
                <w:rFonts w:ascii="Century Gothic" w:hAnsi="Century Gothic" w:cs="Arial"/>
              </w:rPr>
            </w:pPr>
            <w:r w:rsidRPr="003E54F7">
              <w:rPr>
                <w:rFonts w:ascii="Century Gothic" w:hAnsi="Century Gothic" w:cs="Arial"/>
              </w:rPr>
              <w:t>Carport</w:t>
            </w:r>
          </w:p>
        </w:tc>
      </w:tr>
    </w:tbl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FA6246">
        <w:rPr>
          <w:rFonts w:ascii="Century Gothic" w:hAnsi="Century Gothic"/>
          <w:sz w:val="22"/>
          <w:szCs w:val="22"/>
        </w:rPr>
        <w:t>2 October</w:t>
      </w:r>
      <w:r w:rsidR="001B7825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B7825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E54F7"/>
    <w:rsid w:val="003F211C"/>
    <w:rsid w:val="0041654B"/>
    <w:rsid w:val="00421FEE"/>
    <w:rsid w:val="00463438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5599"/>
    <w:rsid w:val="005E7135"/>
    <w:rsid w:val="00633451"/>
    <w:rsid w:val="00637407"/>
    <w:rsid w:val="00641721"/>
    <w:rsid w:val="0066654D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06AA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E28D2"/>
    <w:rsid w:val="00CE354D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6246"/>
    <w:rsid w:val="00FA7551"/>
    <w:rsid w:val="00FC6BC8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2019-10-01T23:00:00Z</dcterms:created>
  <dcterms:modified xsi:type="dcterms:W3CDTF">2019-10-01T23:13:00Z</dcterms:modified>
</cp:coreProperties>
</file>